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92B6" w14:textId="677D6431" w:rsidR="00DF0955" w:rsidRPr="00DF0955" w:rsidRDefault="00DF0955" w:rsidP="00DF0955">
      <w:pPr>
        <w:pStyle w:val="Otsikko10"/>
      </w:pPr>
      <w:r w:rsidRPr="00DF0955">
        <w:t>Imusolmukkeiden ultraäänitutkimus ja neulanäyte PJ2AE, PJ2AT, PJ3AT</w:t>
      </w:r>
    </w:p>
    <w:p w14:paraId="68F533C5" w14:textId="77777777" w:rsidR="00DF0955" w:rsidRPr="00DF0955" w:rsidRDefault="00DF0955" w:rsidP="00DF0955">
      <w:pPr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 xml:space="preserve">Ultraäänitutkimus, jossa tutkitaan kaulan, </w:t>
      </w:r>
      <w:proofErr w:type="spellStart"/>
      <w:r w:rsidRPr="00DF0955">
        <w:rPr>
          <w:rFonts w:asciiTheme="minorHAnsi" w:hAnsiTheme="minorHAnsi" w:cstheme="minorHAnsi"/>
        </w:rPr>
        <w:t>soliskuoppien</w:t>
      </w:r>
      <w:proofErr w:type="spellEnd"/>
      <w:r w:rsidRPr="00DF0955">
        <w:rPr>
          <w:rFonts w:asciiTheme="minorHAnsi" w:hAnsiTheme="minorHAnsi" w:cstheme="minorHAnsi"/>
        </w:rPr>
        <w:t>, kainaloiden ja/tai nivustaipeiden imusolmukkeita. Vatsaontelon syviä imusolmukkeita voidaan tutkia myös ultraäänellä. Samassa yhteydessä voidaan ottaa ohutneulanäyte (ONB) ja/tai karkea- eli paksuneulanäyte (KNB, PNB). Tutkimuksessa ei käytetä röntgensäteitä eikä varjoainetta.</w:t>
      </w:r>
    </w:p>
    <w:p w14:paraId="21CFFCBC" w14:textId="77777777" w:rsidR="00DF0955" w:rsidRPr="00DF0955" w:rsidRDefault="00DF0955" w:rsidP="00DF0955">
      <w:pPr>
        <w:pStyle w:val="Otsikko20"/>
      </w:pPr>
      <w:r w:rsidRPr="00DF0955">
        <w:t xml:space="preserve">Ajan varaaminen ja yhteystiedot </w:t>
      </w:r>
      <w:r w:rsidRPr="00DF0955">
        <w:tab/>
      </w:r>
      <w:r w:rsidRPr="00DF0955">
        <w:tab/>
      </w:r>
    </w:p>
    <w:p w14:paraId="431F8EEA" w14:textId="77777777" w:rsidR="00DF0955" w:rsidRPr="00DF0955" w:rsidRDefault="00E36B4F" w:rsidP="00DF0955">
      <w:pPr>
        <w:contextualSpacing/>
        <w:rPr>
          <w:rFonts w:asciiTheme="minorHAnsi" w:hAnsiTheme="minorHAnsi" w:cstheme="minorHAnsi"/>
        </w:rPr>
      </w:pPr>
      <w:hyperlink r:id="rId13" w:history="1">
        <w:r w:rsidR="00DF0955" w:rsidRPr="00DF0955">
          <w:rPr>
            <w:rFonts w:asciiTheme="minorHAnsi" w:hAnsiTheme="minorHAnsi" w:cstheme="minorHAnsi"/>
            <w:color w:val="0000FF"/>
            <w:u w:val="single"/>
          </w:rPr>
          <w:t>Tutkimusten ajanvaraus kuvantamisen vastuualueella</w:t>
        </w:r>
      </w:hyperlink>
      <w:r w:rsidR="00DF0955" w:rsidRPr="00DF0955">
        <w:rPr>
          <w:rFonts w:asciiTheme="minorHAnsi" w:hAnsiTheme="minorHAnsi" w:cstheme="minorHAnsi"/>
        </w:rPr>
        <w:t xml:space="preserve"> </w:t>
      </w:r>
    </w:p>
    <w:p w14:paraId="2CBA7FF3" w14:textId="77777777" w:rsidR="00DF0955" w:rsidRPr="00DF0955" w:rsidRDefault="00DF0955" w:rsidP="00DF0955">
      <w:pPr>
        <w:spacing w:line="120" w:lineRule="auto"/>
        <w:contextualSpacing/>
        <w:rPr>
          <w:rFonts w:asciiTheme="minorHAnsi" w:hAnsiTheme="minorHAnsi" w:cstheme="minorHAnsi"/>
        </w:rPr>
      </w:pPr>
    </w:p>
    <w:p w14:paraId="09CB580F" w14:textId="735D253F" w:rsidR="00DF0955" w:rsidRPr="00DF0955" w:rsidRDefault="00DF0955" w:rsidP="00DF0955">
      <w:pPr>
        <w:tabs>
          <w:tab w:val="left" w:pos="1985"/>
        </w:tabs>
        <w:contextualSpacing/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 xml:space="preserve">Tiedustelut: </w:t>
      </w:r>
      <w:r w:rsidRPr="00DF0955">
        <w:rPr>
          <w:rFonts w:asciiTheme="minorHAnsi" w:hAnsiTheme="minorHAnsi" w:cstheme="minorHAnsi"/>
        </w:rPr>
        <w:tab/>
        <w:t>F-</w:t>
      </w:r>
      <w:r w:rsidR="00E36B4F">
        <w:rPr>
          <w:rFonts w:asciiTheme="minorHAnsi" w:hAnsiTheme="minorHAnsi" w:cstheme="minorHAnsi"/>
        </w:rPr>
        <w:t>kuvantaminen</w:t>
      </w:r>
      <w:r w:rsidRPr="00DF0955">
        <w:rPr>
          <w:rFonts w:asciiTheme="minorHAnsi" w:hAnsiTheme="minorHAnsi" w:cstheme="minorHAnsi"/>
        </w:rPr>
        <w:t xml:space="preserve"> </w:t>
      </w:r>
      <w:r w:rsidRPr="00DF0955">
        <w:rPr>
          <w:rFonts w:asciiTheme="minorHAnsi" w:hAnsiTheme="minorHAnsi" w:cstheme="minorHAnsi"/>
        </w:rPr>
        <w:tab/>
      </w:r>
      <w:r w:rsidRPr="00DF0955">
        <w:rPr>
          <w:rFonts w:asciiTheme="minorHAnsi" w:hAnsiTheme="minorHAnsi" w:cstheme="minorHAnsi"/>
        </w:rPr>
        <w:tab/>
        <w:t>(08) 315 3277</w:t>
      </w:r>
    </w:p>
    <w:p w14:paraId="58FDF590" w14:textId="7C391CD5" w:rsidR="00DF0955" w:rsidRPr="00DF0955" w:rsidRDefault="00DF0955" w:rsidP="00DF0955">
      <w:pPr>
        <w:tabs>
          <w:tab w:val="left" w:pos="1985"/>
        </w:tabs>
        <w:ind w:left="567"/>
        <w:contextualSpacing/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ab/>
        <w:t>G-</w:t>
      </w:r>
      <w:r w:rsidR="00E36B4F">
        <w:rPr>
          <w:rFonts w:asciiTheme="minorHAnsi" w:hAnsiTheme="minorHAnsi" w:cstheme="minorHAnsi"/>
        </w:rPr>
        <w:t>kuvantaminen</w:t>
      </w:r>
      <w:r w:rsidRPr="00DF0955">
        <w:rPr>
          <w:rFonts w:asciiTheme="minorHAnsi" w:hAnsiTheme="minorHAnsi" w:cstheme="minorHAnsi"/>
        </w:rPr>
        <w:t xml:space="preserve"> </w:t>
      </w:r>
      <w:r w:rsidRPr="00DF0955">
        <w:rPr>
          <w:rFonts w:asciiTheme="minorHAnsi" w:hAnsiTheme="minorHAnsi" w:cstheme="minorHAnsi"/>
        </w:rPr>
        <w:tab/>
      </w:r>
      <w:r w:rsidRPr="00DF0955">
        <w:rPr>
          <w:rFonts w:asciiTheme="minorHAnsi" w:hAnsiTheme="minorHAnsi" w:cstheme="minorHAnsi"/>
        </w:rPr>
        <w:tab/>
        <w:t>(08) 315 3970</w:t>
      </w:r>
    </w:p>
    <w:p w14:paraId="21C28568" w14:textId="77777777" w:rsidR="00DF0955" w:rsidRPr="00DF0955" w:rsidRDefault="00DF0955" w:rsidP="00DF0955">
      <w:pPr>
        <w:pStyle w:val="Otsikko20"/>
      </w:pPr>
      <w:r w:rsidRPr="00DF0955">
        <w:t xml:space="preserve">Indikaatiot/kontraindikaatiot ja riskit </w:t>
      </w:r>
    </w:p>
    <w:p w14:paraId="3E84B66E" w14:textId="77777777" w:rsidR="00DF0955" w:rsidRPr="00DF0955" w:rsidRDefault="00DF0955" w:rsidP="00DF0955">
      <w:r w:rsidRPr="00DF0955">
        <w:t>Indikaatiot:</w:t>
      </w:r>
      <w:r w:rsidRPr="00DF0955">
        <w:tab/>
      </w:r>
      <w:r w:rsidRPr="00DF0955">
        <w:tab/>
        <w:t xml:space="preserve">Imusolmukkeiden </w:t>
      </w:r>
      <w:proofErr w:type="spellStart"/>
      <w:r w:rsidRPr="00DF0955">
        <w:t>parenkyymin</w:t>
      </w:r>
      <w:proofErr w:type="spellEnd"/>
      <w:r w:rsidRPr="00DF0955">
        <w:t xml:space="preserve"> tutkiminen</w:t>
      </w:r>
    </w:p>
    <w:p w14:paraId="04577707" w14:textId="77777777" w:rsidR="00DF0955" w:rsidRPr="00DF0955" w:rsidRDefault="00DF0955" w:rsidP="00DF0955">
      <w:pPr>
        <w:spacing w:line="120" w:lineRule="auto"/>
      </w:pPr>
    </w:p>
    <w:p w14:paraId="2A7DEB96" w14:textId="77777777" w:rsidR="00DF0955" w:rsidRPr="00DF0955" w:rsidRDefault="00DF0955" w:rsidP="00DF0955">
      <w:pPr>
        <w:ind w:left="2608" w:hanging="2608"/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>Kontraindikaatiot:</w:t>
      </w:r>
      <w:r w:rsidRPr="00DF0955">
        <w:rPr>
          <w:rFonts w:asciiTheme="minorHAnsi" w:hAnsiTheme="minorHAnsi" w:cstheme="minorHAnsi"/>
        </w:rPr>
        <w:tab/>
        <w:t xml:space="preserve">Syvä neulanäyte: </w:t>
      </w:r>
      <w:proofErr w:type="spellStart"/>
      <w:r w:rsidRPr="00DF0955">
        <w:rPr>
          <w:rFonts w:asciiTheme="minorHAnsi" w:hAnsiTheme="minorHAnsi" w:cstheme="minorHAnsi"/>
        </w:rPr>
        <w:t>Antitromboottisten</w:t>
      </w:r>
      <w:proofErr w:type="spellEnd"/>
      <w:r w:rsidRPr="00DF0955">
        <w:rPr>
          <w:rFonts w:asciiTheme="minorHAnsi" w:hAnsiTheme="minorHAnsi" w:cstheme="minorHAnsi"/>
        </w:rPr>
        <w:t xml:space="preserve"> lääkkeiden käyttö; P-TT-INR &gt;1,5;</w:t>
      </w:r>
    </w:p>
    <w:p w14:paraId="3BC39B21" w14:textId="77777777" w:rsidR="00DF0955" w:rsidRPr="00DF0955" w:rsidRDefault="00DF0955" w:rsidP="00DF0955">
      <w:pPr>
        <w:ind w:left="2608"/>
        <w:rPr>
          <w:rFonts w:asciiTheme="minorHAnsi" w:hAnsiTheme="minorHAnsi" w:cstheme="minorHAnsi"/>
          <w:lang w:val="sv-SE"/>
        </w:rPr>
      </w:pPr>
      <w:r w:rsidRPr="00DF0955">
        <w:rPr>
          <w:rFonts w:asciiTheme="minorHAnsi" w:hAnsiTheme="minorHAnsi" w:cstheme="minorHAnsi"/>
        </w:rPr>
        <w:t xml:space="preserve"> </w:t>
      </w:r>
      <w:r w:rsidRPr="00DF0955">
        <w:rPr>
          <w:rFonts w:asciiTheme="minorHAnsi" w:hAnsiTheme="minorHAnsi" w:cstheme="minorHAnsi"/>
          <w:lang w:val="sv-SE"/>
        </w:rPr>
        <w:t>P-TT-INR &gt;1,5; B-Hb &lt; 80; B-</w:t>
      </w:r>
      <w:proofErr w:type="spellStart"/>
      <w:r w:rsidRPr="00DF0955">
        <w:rPr>
          <w:rFonts w:asciiTheme="minorHAnsi" w:hAnsiTheme="minorHAnsi" w:cstheme="minorHAnsi"/>
          <w:lang w:val="sv-SE"/>
        </w:rPr>
        <w:t>Trom</w:t>
      </w:r>
      <w:proofErr w:type="spellEnd"/>
      <w:r w:rsidRPr="00DF0955">
        <w:rPr>
          <w:rFonts w:asciiTheme="minorHAnsi" w:hAnsiTheme="minorHAnsi" w:cstheme="minorHAnsi"/>
          <w:lang w:val="sv-SE"/>
        </w:rPr>
        <w:t xml:space="preserve"> &lt; 100</w:t>
      </w:r>
    </w:p>
    <w:p w14:paraId="5A231F52" w14:textId="77777777" w:rsidR="00DF0955" w:rsidRPr="00DF0955" w:rsidRDefault="00DF0955" w:rsidP="00DF0955">
      <w:pPr>
        <w:spacing w:line="120" w:lineRule="auto"/>
        <w:rPr>
          <w:rFonts w:asciiTheme="minorHAnsi" w:hAnsiTheme="minorHAnsi" w:cstheme="minorHAnsi"/>
          <w:lang w:val="sv-SE"/>
        </w:rPr>
      </w:pPr>
    </w:p>
    <w:p w14:paraId="107580EE" w14:textId="77777777" w:rsidR="00DF0955" w:rsidRPr="00DF0955" w:rsidRDefault="00DF0955" w:rsidP="00DF0955">
      <w:pPr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>Riskit:</w:t>
      </w:r>
      <w:r w:rsidRPr="00DF0955">
        <w:rPr>
          <w:rFonts w:asciiTheme="minorHAnsi" w:hAnsiTheme="minorHAnsi" w:cstheme="minorHAnsi"/>
        </w:rPr>
        <w:tab/>
      </w:r>
      <w:r w:rsidRPr="00DF0955">
        <w:rPr>
          <w:rFonts w:asciiTheme="minorHAnsi" w:hAnsiTheme="minorHAnsi" w:cstheme="minorHAnsi"/>
        </w:rPr>
        <w:tab/>
        <w:t xml:space="preserve">Puudutereaktio, verenvuoto, tulehdus. </w:t>
      </w:r>
    </w:p>
    <w:p w14:paraId="06DFF2C5" w14:textId="77777777" w:rsidR="00DF0955" w:rsidRPr="00DF0955" w:rsidRDefault="00DF0955" w:rsidP="00DF0955">
      <w:pPr>
        <w:pStyle w:val="Otsikko20"/>
      </w:pPr>
      <w:r w:rsidRPr="00DF0955">
        <w:t>Esivalmistelut</w:t>
      </w:r>
    </w:p>
    <w:p w14:paraId="58712DE8" w14:textId="77777777" w:rsidR="00DF0955" w:rsidRPr="00DF0955" w:rsidRDefault="00DF0955" w:rsidP="000E46B3">
      <w:pPr>
        <w:ind w:firstLine="360"/>
        <w:rPr>
          <w:rFonts w:asciiTheme="minorHAnsi" w:hAnsiTheme="minorHAnsi" w:cstheme="minorHAnsi"/>
          <w:b/>
        </w:rPr>
      </w:pPr>
      <w:r w:rsidRPr="00DF0955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Pr="00DF0955">
        <w:rPr>
          <w:rFonts w:asciiTheme="minorHAnsi" w:hAnsiTheme="minorHAnsi" w:cstheme="minorHAnsi"/>
          <w:b/>
        </w:rPr>
        <w:t>Imusolmukkeiden ultraääni</w:t>
      </w:r>
    </w:p>
    <w:p w14:paraId="08FAFBEB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DF0955">
        <w:rPr>
          <w:rFonts w:asciiTheme="minorHAnsi" w:hAnsiTheme="minorHAnsi" w:cstheme="minorHAnsi"/>
        </w:rPr>
        <w:t>Ei esivalmisteluja, saa syödä, juoda ja ottaa lääkkeet normaalisti</w:t>
      </w:r>
    </w:p>
    <w:p w14:paraId="1F9F29A9" w14:textId="77777777" w:rsidR="00DF0955" w:rsidRPr="00DF0955" w:rsidRDefault="00DF0955" w:rsidP="000E46B3">
      <w:pPr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80DF038" w14:textId="77777777" w:rsidR="00DF0955" w:rsidRPr="00DF0955" w:rsidRDefault="00DF0955" w:rsidP="000E46B3">
      <w:pPr>
        <w:ind w:firstLine="360"/>
        <w:rPr>
          <w:rFonts w:asciiTheme="minorHAnsi" w:hAnsiTheme="minorHAnsi" w:cstheme="minorHAnsi"/>
          <w:b/>
        </w:rPr>
      </w:pPr>
      <w:r w:rsidRPr="00DF0955">
        <w:rPr>
          <w:rFonts w:asciiTheme="minorHAnsi" w:hAnsiTheme="minorHAnsi" w:cstheme="minorHAnsi"/>
          <w:b/>
          <w:sz w:val="24"/>
          <w:szCs w:val="24"/>
        </w:rPr>
        <w:t>2.</w:t>
      </w:r>
      <w:r w:rsidRPr="00DF0955">
        <w:rPr>
          <w:rFonts w:asciiTheme="minorHAnsi" w:hAnsiTheme="minorHAnsi" w:cstheme="minorHAnsi"/>
          <w:b/>
        </w:rPr>
        <w:t xml:space="preserve"> Pinnallinen neulanäyte </w:t>
      </w:r>
      <w:r w:rsidRPr="00DF0955">
        <w:rPr>
          <w:rFonts w:asciiTheme="minorHAnsi" w:hAnsiTheme="minorHAnsi" w:cstheme="minorHAnsi"/>
        </w:rPr>
        <w:t>(kaula, kainalo, pinnallinen nivusen imusolmuke)</w:t>
      </w:r>
    </w:p>
    <w:p w14:paraId="09C55430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</w:rPr>
      </w:pPr>
      <w:r w:rsidRPr="00DF0955">
        <w:rPr>
          <w:rFonts w:asciiTheme="minorHAnsi" w:hAnsiTheme="minorHAnsi" w:cstheme="minorHAnsi"/>
        </w:rPr>
        <w:t>Ei esivalmisteluja, saa syödä, juoda ja ottaa lääkkeet normaalisti</w:t>
      </w:r>
    </w:p>
    <w:p w14:paraId="723B5F9F" w14:textId="77777777" w:rsidR="00DF0955" w:rsidRPr="00DF0955" w:rsidRDefault="00DF0955" w:rsidP="000E46B3">
      <w:pPr>
        <w:ind w:left="1080"/>
        <w:contextualSpacing/>
        <w:rPr>
          <w:rFonts w:asciiTheme="minorHAnsi" w:hAnsiTheme="minorHAnsi" w:cstheme="minorHAnsi"/>
        </w:rPr>
      </w:pPr>
    </w:p>
    <w:p w14:paraId="6AD03AB7" w14:textId="77777777" w:rsidR="00DF0955" w:rsidRPr="00DF0955" w:rsidRDefault="00DF0955" w:rsidP="000E46B3">
      <w:pPr>
        <w:ind w:firstLine="360"/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Pr="00DF0955">
        <w:rPr>
          <w:rFonts w:asciiTheme="minorHAnsi" w:hAnsiTheme="minorHAnsi" w:cstheme="minorHAnsi"/>
          <w:b/>
        </w:rPr>
        <w:t xml:space="preserve">Syvä neulanäyte </w:t>
      </w:r>
      <w:r w:rsidRPr="00DF0955">
        <w:rPr>
          <w:rFonts w:asciiTheme="minorHAnsi" w:hAnsiTheme="minorHAnsi" w:cstheme="minorHAnsi"/>
        </w:rPr>
        <w:t>(vatsaontelo, syvällä olevan nivusen imusolmuke)</w:t>
      </w:r>
    </w:p>
    <w:p w14:paraId="5169644F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>Vuodelepopaikka</w:t>
      </w:r>
    </w:p>
    <w:p w14:paraId="5339FED8" w14:textId="77777777" w:rsidR="00DF0955" w:rsidRPr="00DF0955" w:rsidRDefault="00DF0955" w:rsidP="000E46B3">
      <w:pPr>
        <w:numPr>
          <w:ilvl w:val="0"/>
          <w:numId w:val="34"/>
        </w:numPr>
        <w:rPr>
          <w:rFonts w:asciiTheme="minorHAnsi" w:hAnsiTheme="minorHAnsi" w:cstheme="minorHAnsi"/>
          <w:u w:val="single"/>
        </w:rPr>
      </w:pPr>
      <w:r w:rsidRPr="00DF0955">
        <w:rPr>
          <w:rFonts w:asciiTheme="minorHAnsi" w:hAnsiTheme="minorHAnsi" w:cstheme="minorHAnsi"/>
        </w:rPr>
        <w:t xml:space="preserve">Veriarvot </w:t>
      </w:r>
    </w:p>
    <w:p w14:paraId="72F27DA1" w14:textId="77777777" w:rsidR="00DF0955" w:rsidRPr="00DF0955" w:rsidRDefault="00DF0955" w:rsidP="000E46B3">
      <w:pPr>
        <w:numPr>
          <w:ilvl w:val="1"/>
          <w:numId w:val="34"/>
        </w:numPr>
        <w:contextualSpacing/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>B-PVK (B-</w:t>
      </w:r>
      <w:proofErr w:type="spellStart"/>
      <w:r w:rsidRPr="00DF0955">
        <w:rPr>
          <w:rFonts w:asciiTheme="minorHAnsi" w:hAnsiTheme="minorHAnsi" w:cstheme="minorHAnsi"/>
        </w:rPr>
        <w:t>Trom</w:t>
      </w:r>
      <w:proofErr w:type="spellEnd"/>
      <w:r w:rsidRPr="00DF0955">
        <w:rPr>
          <w:rFonts w:asciiTheme="minorHAnsi" w:hAnsiTheme="minorHAnsi" w:cstheme="minorHAnsi"/>
        </w:rPr>
        <w:t xml:space="preserve">, B-Hb), enintään </w:t>
      </w:r>
      <w:r w:rsidRPr="00DF0955">
        <w:rPr>
          <w:rFonts w:asciiTheme="minorHAnsi" w:hAnsiTheme="minorHAnsi" w:cstheme="minorHAnsi"/>
          <w:b/>
        </w:rPr>
        <w:t>7</w:t>
      </w:r>
      <w:r w:rsidRPr="00DF0955">
        <w:rPr>
          <w:rFonts w:asciiTheme="minorHAnsi" w:hAnsiTheme="minorHAnsi" w:cstheme="minorHAnsi"/>
        </w:rPr>
        <w:t xml:space="preserve"> vrk vanhat</w:t>
      </w:r>
    </w:p>
    <w:p w14:paraId="5BCA8F89" w14:textId="77777777" w:rsidR="00DF0955" w:rsidRPr="00DF0955" w:rsidRDefault="00DF0955" w:rsidP="000E46B3">
      <w:pPr>
        <w:numPr>
          <w:ilvl w:val="1"/>
          <w:numId w:val="34"/>
        </w:numPr>
        <w:contextualSpacing/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 xml:space="preserve">P-TT-INR &lt;1,5, enintään </w:t>
      </w:r>
      <w:r w:rsidRPr="00DF0955">
        <w:rPr>
          <w:rFonts w:asciiTheme="minorHAnsi" w:hAnsiTheme="minorHAnsi" w:cstheme="minorHAnsi"/>
          <w:b/>
        </w:rPr>
        <w:t>1</w:t>
      </w:r>
      <w:r w:rsidRPr="00DF0955">
        <w:rPr>
          <w:rFonts w:asciiTheme="minorHAnsi" w:hAnsiTheme="minorHAnsi" w:cstheme="minorHAnsi"/>
        </w:rPr>
        <w:t xml:space="preserve"> vrk vanha</w:t>
      </w:r>
    </w:p>
    <w:p w14:paraId="04F152F7" w14:textId="77777777" w:rsidR="00DF0955" w:rsidRPr="00DF0955" w:rsidRDefault="00E36B4F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</w:rPr>
      </w:pPr>
      <w:hyperlink r:id="rId14" w:history="1">
        <w:proofErr w:type="spellStart"/>
        <w:r w:rsidR="00DF0955" w:rsidRPr="00DF0955">
          <w:rPr>
            <w:rFonts w:asciiTheme="minorHAnsi" w:hAnsiTheme="minorHAnsi" w:cstheme="minorHAnsi"/>
            <w:color w:val="0000FF"/>
            <w:u w:val="single"/>
          </w:rPr>
          <w:t>Antitromboottisen</w:t>
        </w:r>
        <w:proofErr w:type="spellEnd"/>
        <w:r w:rsidR="00DF0955" w:rsidRPr="00DF0955">
          <w:rPr>
            <w:rFonts w:asciiTheme="minorHAnsi" w:hAnsiTheme="minorHAnsi" w:cstheme="minorHAnsi"/>
            <w:color w:val="0000FF"/>
            <w:u w:val="single"/>
          </w:rPr>
          <w:t xml:space="preserve"> lääkityksen tauottaminen</w:t>
        </w:r>
      </w:hyperlink>
      <w:r w:rsidR="00DF0955" w:rsidRPr="00DF0955">
        <w:rPr>
          <w:rFonts w:asciiTheme="minorHAnsi" w:hAnsiTheme="minorHAnsi" w:cstheme="minorHAnsi"/>
        </w:rPr>
        <w:t xml:space="preserve">. </w:t>
      </w:r>
    </w:p>
    <w:p w14:paraId="39087931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DF0955">
        <w:rPr>
          <w:rFonts w:asciiTheme="minorHAnsi" w:hAnsiTheme="minorHAnsi" w:cstheme="minorHAnsi"/>
        </w:rPr>
        <w:t>Syömättä, juomatta, tupakoimatta sekä purukumia purematta 6 tuntia, aamulääkkeet voi ottaa pienen vesimäärän kanssa</w:t>
      </w:r>
    </w:p>
    <w:p w14:paraId="151E0DC4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DF0955">
        <w:rPr>
          <w:rFonts w:asciiTheme="minorHAnsi" w:hAnsiTheme="minorHAnsi" w:cstheme="minorHAnsi"/>
        </w:rPr>
        <w:t>Mikäli potilaalla on tablettihoitoinen diabetes, sokeritautilääkkeet jätetään ottamatta</w:t>
      </w:r>
    </w:p>
    <w:p w14:paraId="3D02DE30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DF0955">
        <w:rPr>
          <w:rFonts w:asciiTheme="minorHAnsi" w:hAnsiTheme="minorHAnsi" w:cstheme="minorHAnsi"/>
        </w:rPr>
        <w:t>Mikäli potilaalla on insuliinihoitoinen diabetes, lähettävän yksikön henkilökunta antaa tarkempia valmisteluohjeita</w:t>
      </w:r>
    </w:p>
    <w:p w14:paraId="3212A3F1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DF0955">
        <w:rPr>
          <w:rFonts w:asciiTheme="minorHAnsi" w:hAnsiTheme="minorHAnsi" w:cstheme="minorHAnsi"/>
        </w:rPr>
        <w:t>Toimiva laskimoyhteys</w:t>
      </w:r>
    </w:p>
    <w:p w14:paraId="1028197D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DF0955">
        <w:rPr>
          <w:rFonts w:asciiTheme="minorHAnsi" w:hAnsiTheme="minorHAnsi" w:cstheme="minorHAnsi"/>
        </w:rPr>
        <w:t>Potilas kuljetetaan sängyllä</w:t>
      </w:r>
    </w:p>
    <w:p w14:paraId="6D668814" w14:textId="77777777" w:rsidR="00DF0955" w:rsidRPr="00DF0955" w:rsidRDefault="00DF0955" w:rsidP="000E46B3">
      <w:pPr>
        <w:numPr>
          <w:ilvl w:val="0"/>
          <w:numId w:val="3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DF0955">
        <w:rPr>
          <w:rFonts w:asciiTheme="minorHAnsi" w:hAnsiTheme="minorHAnsi" w:cstheme="minorHAnsi"/>
        </w:rPr>
        <w:t>Röntgenosasto tekee ja tulostaa sytologisen ja/tai histologisen tutkimustarran. Mikäli halutaan muita näytteitä, tarrat tulee toimittaa potilaan mukana röntgenosastolle.</w:t>
      </w:r>
    </w:p>
    <w:p w14:paraId="117F65E6" w14:textId="77777777" w:rsidR="00DF0955" w:rsidRPr="00DF0955" w:rsidRDefault="00DF0955" w:rsidP="00DF0955">
      <w:pPr>
        <w:pStyle w:val="Otsikko20"/>
      </w:pPr>
      <w:r w:rsidRPr="00DF0955">
        <w:lastRenderedPageBreak/>
        <w:t xml:space="preserve">Toimenpiteen kulku </w:t>
      </w:r>
    </w:p>
    <w:p w14:paraId="5F74DB21" w14:textId="77777777" w:rsidR="00DF0955" w:rsidRPr="00DF0955" w:rsidRDefault="00DF0955" w:rsidP="00DF0955">
      <w:pPr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>Ultraäänitutkimus kestää noin 20 minuuttia. Jos samalla otetaan neulanäyte, tutkimus kestää noin 30 minuuttia. Potilas on selällään. Ultraäänellä määritetään pistoreitti. Pistoalue pestään ja tarvittaessa puudutetaan.</w:t>
      </w:r>
    </w:p>
    <w:p w14:paraId="21077222" w14:textId="77777777" w:rsidR="00DF0955" w:rsidRPr="00DF0955" w:rsidRDefault="00DF0955" w:rsidP="00DF0955">
      <w:pPr>
        <w:spacing w:line="120" w:lineRule="auto"/>
        <w:rPr>
          <w:rFonts w:asciiTheme="minorHAnsi" w:hAnsiTheme="minorHAnsi" w:cstheme="minorHAnsi"/>
        </w:rPr>
      </w:pPr>
    </w:p>
    <w:p w14:paraId="35B24078" w14:textId="77777777" w:rsidR="00DF0955" w:rsidRPr="00DF0955" w:rsidRDefault="00DF0955" w:rsidP="00DF0955">
      <w:pPr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>Ohutneulanäytteessä ohjataan neula pistokohteeseen ja ruiskun avulla imetään kohteesta soluja tai nestettä näytteeksi.</w:t>
      </w:r>
    </w:p>
    <w:p w14:paraId="12600554" w14:textId="77777777" w:rsidR="00DF0955" w:rsidRPr="00DF0955" w:rsidRDefault="00DF0955" w:rsidP="00DF0955">
      <w:pPr>
        <w:spacing w:line="120" w:lineRule="auto"/>
        <w:rPr>
          <w:rFonts w:asciiTheme="minorHAnsi" w:hAnsiTheme="minorHAnsi" w:cstheme="minorHAnsi"/>
        </w:rPr>
      </w:pPr>
    </w:p>
    <w:p w14:paraId="08B910CE" w14:textId="77777777" w:rsidR="00DF0955" w:rsidRPr="00DF0955" w:rsidRDefault="00DF0955" w:rsidP="00DF0955">
      <w:pPr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 xml:space="preserve"> Karkeaneulabiopsiassa puudutuksen jälkeen tehdään iholle pieni viilto veitsellä. Tästä viiltoaukosta ohjataan neula näytteenottokohtaan. Neulalla leikataan kudoksesta lieriömäinen pala.</w:t>
      </w:r>
    </w:p>
    <w:p w14:paraId="3EC66589" w14:textId="77777777" w:rsidR="00DF0955" w:rsidRPr="00DF0955" w:rsidRDefault="00DF0955" w:rsidP="00DF0955">
      <w:pPr>
        <w:pStyle w:val="Otsikko20"/>
      </w:pPr>
      <w:r w:rsidRPr="00DF0955">
        <w:t xml:space="preserve">Jälkihoito ja seuranta </w:t>
      </w:r>
    </w:p>
    <w:p w14:paraId="5C32032C" w14:textId="677F23DA" w:rsidR="00DF0955" w:rsidRPr="00DF0955" w:rsidRDefault="00DF0955" w:rsidP="00DF0955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 xml:space="preserve">Raskasta ponnistelua tulee välttää heti neulanäytteen oton jälkeen. </w:t>
      </w:r>
      <w:r w:rsidR="007F0B25" w:rsidRPr="007F0B25">
        <w:rPr>
          <w:rFonts w:asciiTheme="minorHAnsi" w:hAnsiTheme="minorHAnsi" w:cstheme="minorHAnsi"/>
        </w:rPr>
        <w:t>Paksuneulanäytteen jälkeen haavakalvolla suljettu pistopaikka tulee olla kastelematta yhden vuorokauden tulehdusriskin takia. Haavalapun voi poistaa yhden vuorokauden kuluttua. Ohutneulanäytteen jälkeen haavakalvon voi poistaa iholta viimeistään seuraavana aamuna.</w:t>
      </w:r>
    </w:p>
    <w:p w14:paraId="05B096FD" w14:textId="77777777" w:rsidR="00DF0955" w:rsidRPr="00DF0955" w:rsidRDefault="00DF0955" w:rsidP="00DF0955">
      <w:pPr>
        <w:tabs>
          <w:tab w:val="left" w:pos="0"/>
        </w:tabs>
        <w:spacing w:line="120" w:lineRule="auto"/>
        <w:jc w:val="both"/>
        <w:rPr>
          <w:rFonts w:asciiTheme="minorHAnsi" w:hAnsiTheme="minorHAnsi" w:cstheme="minorHAnsi"/>
        </w:rPr>
      </w:pPr>
    </w:p>
    <w:p w14:paraId="629D1FE1" w14:textId="77777777" w:rsidR="00DF0955" w:rsidRPr="00DF0955" w:rsidRDefault="00DF0955" w:rsidP="00DF0955">
      <w:pPr>
        <w:rPr>
          <w:rFonts w:asciiTheme="minorHAnsi" w:hAnsiTheme="minorHAnsi" w:cstheme="minorHAnsi"/>
        </w:rPr>
      </w:pPr>
      <w:r w:rsidRPr="00DF0955">
        <w:rPr>
          <w:rFonts w:asciiTheme="minorHAnsi" w:hAnsiTheme="minorHAnsi" w:cstheme="minorHAnsi"/>
        </w:rPr>
        <w:t>Jos näyte otetaan syvemmästä kohteesta, niin tarvittaessa voi tulla vuodelepoa näytteenoton jälkeen. Vuodelevon kesto määräytyy tapauskohtaisesti.</w:t>
      </w:r>
    </w:p>
    <w:p w14:paraId="79E6CBD7" w14:textId="3C6A291E" w:rsidR="00AA2438" w:rsidRPr="00432CB1" w:rsidRDefault="00AA2438" w:rsidP="00432CB1">
      <w:pPr>
        <w:rPr>
          <w:rFonts w:asciiTheme="majorHAnsi" w:hAnsiTheme="majorHAnsi" w:cstheme="majorHAnsi"/>
        </w:rPr>
      </w:pPr>
    </w:p>
    <w:sectPr w:rsidR="00AA2438" w:rsidRPr="00432CB1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25BE6FD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2257FE7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F0955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2257FE7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DF095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00BF2BF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7399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00BF2BF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E7399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57460">
          <w:rPr>
            <w:sz w:val="16"/>
            <w:szCs w:val="16"/>
          </w:rPr>
          <w:t xml:space="preserve">Imusolmukkeiden ultraäänitutkimus ja neulanäyte </w:t>
        </w:r>
        <w:proofErr w:type="spellStart"/>
        <w:r w:rsidR="00F57460">
          <w:rPr>
            <w:sz w:val="16"/>
            <w:szCs w:val="16"/>
          </w:rPr>
          <w:t>kuv</w:t>
        </w:r>
        <w:proofErr w:type="spellEnd"/>
        <w:r w:rsidR="00F57460">
          <w:rPr>
            <w:sz w:val="16"/>
            <w:szCs w:val="16"/>
          </w:rPr>
          <w:t xml:space="preserve"> </w:t>
        </w:r>
        <w:proofErr w:type="spellStart"/>
        <w:r w:rsidR="00F57460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AD290AD" w:rsidR="000631E7" w:rsidRPr="004E7FC1" w:rsidRDefault="000E46B3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11</w:t>
              </w:r>
              <w:r w:rsidR="00DF0955">
                <w:rPr>
                  <w:sz w:val="20"/>
                  <w:szCs w:val="20"/>
                </w:rPr>
                <w:t>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DA338C"/>
    <w:multiLevelType w:val="hybridMultilevel"/>
    <w:tmpl w:val="D754666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346E"/>
    <w:multiLevelType w:val="hybridMultilevel"/>
    <w:tmpl w:val="B350864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9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8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4"/>
  </w:num>
  <w:num w:numId="11" w16cid:durableId="841121598">
    <w:abstractNumId w:val="24"/>
  </w:num>
  <w:num w:numId="12" w16cid:durableId="225991095">
    <w:abstractNumId w:val="14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3"/>
  </w:num>
  <w:num w:numId="16" w16cid:durableId="1796949018">
    <w:abstractNumId w:val="11"/>
  </w:num>
  <w:num w:numId="17" w16cid:durableId="627246728">
    <w:abstractNumId w:val="6"/>
  </w:num>
  <w:num w:numId="18" w16cid:durableId="1203321292">
    <w:abstractNumId w:val="15"/>
  </w:num>
  <w:num w:numId="19" w16cid:durableId="338584785">
    <w:abstractNumId w:val="7"/>
  </w:num>
  <w:num w:numId="20" w16cid:durableId="1700349936">
    <w:abstractNumId w:val="30"/>
  </w:num>
  <w:num w:numId="21" w16cid:durableId="2002350878">
    <w:abstractNumId w:val="31"/>
  </w:num>
  <w:num w:numId="22" w16cid:durableId="204828846">
    <w:abstractNumId w:val="20"/>
  </w:num>
  <w:num w:numId="23" w16cid:durableId="440537796">
    <w:abstractNumId w:val="9"/>
  </w:num>
  <w:num w:numId="24" w16cid:durableId="495077311">
    <w:abstractNumId w:val="12"/>
  </w:num>
  <w:num w:numId="25" w16cid:durableId="1332100559">
    <w:abstractNumId w:val="29"/>
  </w:num>
  <w:num w:numId="26" w16cid:durableId="22098103">
    <w:abstractNumId w:val="26"/>
  </w:num>
  <w:num w:numId="27" w16cid:durableId="627932154">
    <w:abstractNumId w:val="27"/>
  </w:num>
  <w:num w:numId="28" w16cid:durableId="1895432760">
    <w:abstractNumId w:val="3"/>
  </w:num>
  <w:num w:numId="29" w16cid:durableId="1219315480">
    <w:abstractNumId w:val="22"/>
  </w:num>
  <w:num w:numId="30" w16cid:durableId="607129064">
    <w:abstractNumId w:val="18"/>
  </w:num>
  <w:num w:numId="31" w16cid:durableId="495337886">
    <w:abstractNumId w:val="19"/>
  </w:num>
  <w:num w:numId="32" w16cid:durableId="191773934">
    <w:abstractNumId w:val="25"/>
  </w:num>
  <w:num w:numId="33" w16cid:durableId="276299988">
    <w:abstractNumId w:val="8"/>
  </w:num>
  <w:num w:numId="34" w16cid:durableId="2056154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E46B3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3752E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B5B39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0B2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0955"/>
    <w:rsid w:val="00DF19CC"/>
    <w:rsid w:val="00E04FF8"/>
    <w:rsid w:val="00E36B4F"/>
    <w:rsid w:val="00E53142"/>
    <w:rsid w:val="00E623B0"/>
    <w:rsid w:val="00E73999"/>
    <w:rsid w:val="00E73F23"/>
    <w:rsid w:val="00E81B26"/>
    <w:rsid w:val="00E85458"/>
    <w:rsid w:val="00E92FE5"/>
    <w:rsid w:val="00EA0E06"/>
    <w:rsid w:val="00EA5B0A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57460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980</Value>
      <Value>44</Value>
      <Value>42</Value>
      <Value>41</Value>
      <Value>57</Value>
      <Value>821</Value>
      <Value>820</Value>
      <Value>1329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i:0#.w|oysnet\viittaem</DisplayName>
        <AccountId>6521</AccountId>
        <AccountType/>
      </UserInfo>
      <UserInfo>
        <DisplayName>i:0#.w|oysnet\annalasu</DisplayName>
        <AccountId>6397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MUAVRSSTWASF-628417917-611</_dlc_DocId>
    <_dlc_DocIdUrl xmlns="d3e50268-7799-48af-83c3-9a9b063078bc">
      <Url>https://internet.oysnet.ppshp.fi/dokumentit/_layouts/15/DocIdRedir.aspx?ID=MUAVRSSTWASF-628417917-611</Url>
      <Description>MUAVRSSTWASF-628417917-611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9A599-C79D-4B4C-A85F-B0FB97987AB9}"/>
</file>

<file path=customXml/itemProps3.xml><?xml version="1.0" encoding="utf-8"?>
<ds:datastoreItem xmlns:ds="http://schemas.openxmlformats.org/officeDocument/2006/customXml" ds:itemID="{ABEFC007-530D-4455-8BF0-243625A223A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CD261D-443F-4142-8A4B-3FC11C658D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0af04246-5dcb-4e38-b8a1-4adaeb368127"/>
    <ds:schemaRef ds:uri="d3e50268-7799-48af-83c3-9a9b063078bc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Imusolmukkeiden ultraäänitutkimus ja tai neulanäyte kuv til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Imusolmukkeiden ultraäänitutkimus ja neulanäyte kuv til</dc:title>
  <dc:subject/>
  <dc:creator/>
  <cp:keywords/>
  <dc:description/>
  <cp:lastModifiedBy/>
  <cp:revision>1</cp:revision>
  <dcterms:created xsi:type="dcterms:W3CDTF">2024-01-03T10:22:00Z</dcterms:created>
  <dcterms:modified xsi:type="dcterms:W3CDTF">2025-02-17T09:19:00Z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_dlc_DocIdItemGuid">
    <vt:lpwstr>8e3033d8-b3e3-44e3-82c3-99cbd2b6a480</vt:lpwstr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TaxKeyword">
    <vt:lpwstr/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Kohdeorganisaatio">
    <vt:lpwstr>41;#Kuvantaminen|13fd9652-4cc4-4c00-9faf-49cd9c600ecb</vt:lpwstr>
  </property>
  <property fmtid="{D5CDD505-2E9C-101B-9397-08002B2CF9AE}" pid="19" name="Organisaatiotiedon tarkennus toiminnan mukaan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Kuvantamisen ohjeen elinryhmät (sisältötyypin metatieto)">
    <vt:lpwstr>980;#Vartalo|3b19d0f0-710a-4133-b766-da4d9ae00ed9</vt:lpwstr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57;#Ultraääni|4f08c06f-311d-4072-8d29-e53fb16e4043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Order">
    <vt:r8>995700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